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6F797" w14:textId="77777777" w:rsidR="009E6A60" w:rsidRPr="00AB7F2D" w:rsidRDefault="00AB7F2D">
      <w:pPr>
        <w:rPr>
          <w:rFonts w:cstheme="minorHAnsi"/>
          <w:sz w:val="28"/>
          <w:szCs w:val="28"/>
        </w:rPr>
      </w:pPr>
      <w:r w:rsidRPr="00AB7F2D">
        <w:rPr>
          <w:rFonts w:cstheme="minorHAnsi"/>
          <w:sz w:val="28"/>
          <w:szCs w:val="28"/>
        </w:rPr>
        <w:t>Promotion of Research Faculty</w:t>
      </w:r>
    </w:p>
    <w:p w14:paraId="67055370" w14:textId="77777777" w:rsidR="00AB7F2D" w:rsidRPr="00AB7F2D" w:rsidRDefault="00AB7F2D" w:rsidP="00AB7F2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AB7F2D">
        <w:rPr>
          <w:rFonts w:asciiTheme="minorHAnsi" w:hAnsiTheme="minorHAnsi" w:cstheme="minorHAnsi"/>
          <w:color w:val="000000"/>
        </w:rPr>
        <w:t>Faculty who are hired in research professor lines are traditionally expected to engage mainly with the research mission of the University. To promote research faculty, the process follows a similar timeline as tenure-track faculty.  </w:t>
      </w:r>
    </w:p>
    <w:p w14:paraId="525EEBFE" w14:textId="77777777" w:rsidR="00AB7F2D" w:rsidRPr="00AB7F2D" w:rsidRDefault="00AB7F2D" w:rsidP="00AB7F2D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B7F2D">
        <w:rPr>
          <w:rFonts w:asciiTheme="minorHAnsi" w:hAnsiTheme="minorHAnsi" w:cstheme="minorHAnsi"/>
          <w:color w:val="000000"/>
        </w:rPr>
        <w:t>To be eligible for promotion from Research Assistant Professor to Research Associate Professor, a faculty member must have 6 years of full-time service as Research Assistant Professor or equivalent. For Research Associate Professor to Research Professor, must have at least 3 years of full time service as Research Associate Professor or equivalent. </w:t>
      </w:r>
    </w:p>
    <w:p w14:paraId="1E90563A" w14:textId="77777777" w:rsidR="00AB7F2D" w:rsidRPr="00AB7F2D" w:rsidRDefault="00AB7F2D" w:rsidP="00AB7F2D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B7F2D">
        <w:rPr>
          <w:rFonts w:asciiTheme="minorHAnsi" w:hAnsiTheme="minorHAnsi" w:cstheme="minorHAnsi"/>
          <w:color w:val="000000"/>
        </w:rPr>
        <w:t>The request for promotion may be submitted one year in advance of year 6/3 noted. The promotion can be initiated by the academic unit chair when the eligibility requirements have been met. All requests must be approved by the Dean and the Provost.</w:t>
      </w:r>
    </w:p>
    <w:p w14:paraId="2248B894" w14:textId="77777777" w:rsidR="00AB7F2D" w:rsidRPr="00AB7F2D" w:rsidRDefault="00AB7F2D" w:rsidP="00AB7F2D">
      <w:pPr>
        <w:rPr>
          <w:rFonts w:cstheme="minorHAnsi"/>
        </w:rPr>
      </w:pPr>
      <w:r w:rsidRPr="00AB7F2D">
        <w:rPr>
          <w:rFonts w:cstheme="minorHAnsi"/>
          <w:b/>
        </w:rPr>
        <w:t>Eligibility for Promotion</w:t>
      </w:r>
    </w:p>
    <w:p w14:paraId="5ADDC082" w14:textId="77777777" w:rsidR="00AB7F2D" w:rsidRDefault="00AB7F2D" w:rsidP="00AB7F2D">
      <w:pPr>
        <w:pStyle w:val="ListParagraph"/>
        <w:numPr>
          <w:ilvl w:val="0"/>
          <w:numId w:val="1"/>
        </w:numPr>
        <w:rPr>
          <w:rFonts w:cstheme="minorHAnsi"/>
        </w:rPr>
      </w:pPr>
      <w:r w:rsidRPr="00AB7F2D">
        <w:rPr>
          <w:rFonts w:cstheme="minorHAnsi"/>
        </w:rPr>
        <w:t xml:space="preserve">Research Associate Professor: At least 6 </w:t>
      </w:r>
      <w:proofErr w:type="gramStart"/>
      <w:r w:rsidRPr="00AB7F2D">
        <w:rPr>
          <w:rFonts w:cstheme="minorHAnsi"/>
        </w:rPr>
        <w:t>years</w:t>
      </w:r>
      <w:proofErr w:type="gramEnd"/>
      <w:r w:rsidRPr="00AB7F2D">
        <w:rPr>
          <w:rFonts w:cstheme="minorHAnsi"/>
        </w:rPr>
        <w:t xml:space="preserve"> full time service to the academic unit in the rank of Research Assistant Professor or equivalent.</w:t>
      </w:r>
    </w:p>
    <w:p w14:paraId="082F24A8" w14:textId="77777777" w:rsidR="00AB7F2D" w:rsidRDefault="00AB7F2D" w:rsidP="00AB7F2D">
      <w:pPr>
        <w:pStyle w:val="ListParagraph"/>
        <w:numPr>
          <w:ilvl w:val="0"/>
          <w:numId w:val="1"/>
        </w:numPr>
        <w:rPr>
          <w:rFonts w:cstheme="minorHAnsi"/>
        </w:rPr>
      </w:pPr>
      <w:r w:rsidRPr="00AB7F2D">
        <w:rPr>
          <w:rFonts w:cstheme="minorHAnsi"/>
        </w:rPr>
        <w:t xml:space="preserve">Research Professor: At least 3 </w:t>
      </w:r>
      <w:proofErr w:type="gramStart"/>
      <w:r w:rsidRPr="00AB7F2D">
        <w:rPr>
          <w:rFonts w:cstheme="minorHAnsi"/>
        </w:rPr>
        <w:t>years</w:t>
      </w:r>
      <w:proofErr w:type="gramEnd"/>
      <w:r w:rsidRPr="00AB7F2D">
        <w:rPr>
          <w:rFonts w:cstheme="minorHAnsi"/>
        </w:rPr>
        <w:t xml:space="preserve"> full time service to the academic unit as Research Associate Professor or equivalent.</w:t>
      </w:r>
    </w:p>
    <w:p w14:paraId="139DE3F3" w14:textId="77777777" w:rsidR="00AB7F2D" w:rsidRDefault="00AB7F2D" w:rsidP="00AB7F2D">
      <w:pPr>
        <w:rPr>
          <w:rFonts w:cstheme="minorHAnsi"/>
          <w:b/>
        </w:rPr>
      </w:pPr>
      <w:r>
        <w:rPr>
          <w:rFonts w:cstheme="minorHAnsi"/>
          <w:b/>
        </w:rPr>
        <w:t>Criteria for Promotion</w:t>
      </w:r>
    </w:p>
    <w:p w14:paraId="2B3EAD7B" w14:textId="77777777" w:rsidR="00AB7F2D" w:rsidRPr="00AB7F2D" w:rsidRDefault="00AB7F2D" w:rsidP="00AB7F2D">
      <w:pPr>
        <w:rPr>
          <w:rFonts w:cstheme="minorHAnsi"/>
        </w:rPr>
      </w:pPr>
      <w:r w:rsidRPr="00AB7F2D">
        <w:rPr>
          <w:rFonts w:cstheme="minorHAnsi"/>
        </w:rPr>
        <w:t>Evidence of contributions to research such as:</w:t>
      </w:r>
    </w:p>
    <w:p w14:paraId="1E92171C" w14:textId="77777777" w:rsidR="00AB7F2D" w:rsidRDefault="00AB7F2D" w:rsidP="00A8046C">
      <w:pPr>
        <w:pStyle w:val="ListParagraph"/>
        <w:numPr>
          <w:ilvl w:val="0"/>
          <w:numId w:val="4"/>
        </w:numPr>
        <w:rPr>
          <w:rFonts w:cstheme="minorHAnsi"/>
        </w:rPr>
      </w:pPr>
      <w:r w:rsidRPr="00AB7F2D">
        <w:rPr>
          <w:rFonts w:cstheme="minorHAnsi"/>
        </w:rPr>
        <w:t>Record of peer-reviewed scholar activities including but not limited to publications, creative work or equivalent depending on the field of study</w:t>
      </w:r>
    </w:p>
    <w:p w14:paraId="658D5553" w14:textId="77777777" w:rsidR="00AB7F2D" w:rsidRDefault="00AB7F2D" w:rsidP="00AB7F2D">
      <w:pPr>
        <w:pStyle w:val="ListParagraph"/>
        <w:numPr>
          <w:ilvl w:val="0"/>
          <w:numId w:val="4"/>
        </w:numPr>
        <w:rPr>
          <w:rFonts w:cstheme="minorHAnsi"/>
        </w:rPr>
      </w:pPr>
      <w:r w:rsidRPr="00AB7F2D">
        <w:rPr>
          <w:rFonts w:cstheme="minorHAnsi"/>
        </w:rPr>
        <w:t>National or international recognition in the field of study, as reflected e.g., in honors and awards or invited lectures</w:t>
      </w:r>
    </w:p>
    <w:p w14:paraId="7A0F4E48" w14:textId="77777777" w:rsidR="00AB7F2D" w:rsidRDefault="00AB7F2D" w:rsidP="00AB7F2D">
      <w:pPr>
        <w:pStyle w:val="ListParagraph"/>
        <w:numPr>
          <w:ilvl w:val="0"/>
          <w:numId w:val="4"/>
        </w:numPr>
        <w:rPr>
          <w:rFonts w:cstheme="minorHAnsi"/>
        </w:rPr>
      </w:pPr>
      <w:r w:rsidRPr="00AB7F2D">
        <w:rPr>
          <w:rFonts w:cstheme="minorHAnsi"/>
        </w:rPr>
        <w:t>Record of research funding representative of the discipline</w:t>
      </w:r>
    </w:p>
    <w:p w14:paraId="383B0709" w14:textId="77777777" w:rsidR="00AB7F2D" w:rsidRPr="00AB7F2D" w:rsidRDefault="00AB7F2D" w:rsidP="00AB7F2D">
      <w:pPr>
        <w:pStyle w:val="ListParagraph"/>
        <w:numPr>
          <w:ilvl w:val="0"/>
          <w:numId w:val="4"/>
        </w:numPr>
        <w:rPr>
          <w:rFonts w:cstheme="minorHAnsi"/>
        </w:rPr>
      </w:pPr>
      <w:r w:rsidRPr="00AB7F2D">
        <w:rPr>
          <w:rFonts w:cstheme="minorHAnsi"/>
        </w:rPr>
        <w:t>Proof of scholar independence as reflected in e.g., authorship of publications or creative works, leading role in funding enterprises or equivalent</w:t>
      </w:r>
    </w:p>
    <w:p w14:paraId="4B89A6E1" w14:textId="77777777" w:rsidR="00AB7F2D" w:rsidRPr="00AB7F2D" w:rsidRDefault="00AB7F2D" w:rsidP="00AB7F2D">
      <w:pPr>
        <w:rPr>
          <w:rFonts w:cstheme="minorHAnsi"/>
        </w:rPr>
      </w:pPr>
      <w:r w:rsidRPr="00AB7F2D">
        <w:rPr>
          <w:rFonts w:cstheme="minorHAnsi"/>
        </w:rPr>
        <w:t>For promotion to Associate Research Professor, the candidate should show strong local and national reputation on the basis of research productivity and contributions over several years consistent with that of a tenured associate professor.</w:t>
      </w:r>
    </w:p>
    <w:p w14:paraId="7AD3F1EE" w14:textId="77777777" w:rsidR="00AB7F2D" w:rsidRDefault="00AB7F2D" w:rsidP="00AB7F2D">
      <w:pPr>
        <w:rPr>
          <w:rFonts w:cstheme="minorHAnsi"/>
        </w:rPr>
      </w:pPr>
      <w:r w:rsidRPr="00AB7F2D">
        <w:rPr>
          <w:rFonts w:cstheme="minorHAnsi"/>
        </w:rPr>
        <w:t>For promotion to Research Professor, the candidate should show exemplary and sustained national and international reputation and achievements in research productivity and record equivalent to a tenured professor.</w:t>
      </w:r>
    </w:p>
    <w:p w14:paraId="2FF542C1" w14:textId="77777777" w:rsidR="00AB7F2D" w:rsidRDefault="00AB7F2D" w:rsidP="00AB7F2D">
      <w:pPr>
        <w:rPr>
          <w:rFonts w:cstheme="minorHAnsi"/>
          <w:b/>
        </w:rPr>
      </w:pPr>
      <w:r>
        <w:rPr>
          <w:rFonts w:cstheme="minorHAnsi"/>
          <w:b/>
        </w:rPr>
        <w:t>Dossier Contents</w:t>
      </w:r>
    </w:p>
    <w:p w14:paraId="6F0EB35D" w14:textId="77777777" w:rsidR="00AB7F2D" w:rsidRDefault="00AB7F2D" w:rsidP="00AB7F2D">
      <w:r>
        <w:t xml:space="preserve">The </w:t>
      </w:r>
      <w:r>
        <w:t xml:space="preserve">request for promotion </w:t>
      </w:r>
      <w:r>
        <w:t xml:space="preserve">package for </w:t>
      </w:r>
      <w:r>
        <w:t xml:space="preserve">research faculty </w:t>
      </w:r>
      <w:r>
        <w:t xml:space="preserve">must be submitted </w:t>
      </w:r>
      <w:r>
        <w:rPr>
          <w:i/>
        </w:rPr>
        <w:t xml:space="preserve">electronically to </w:t>
      </w:r>
      <w:hyperlink r:id="rId8">
        <w:r>
          <w:rPr>
            <w:rFonts w:ascii="Arial"/>
            <w:color w:val="0000FF"/>
            <w:sz w:val="21"/>
            <w:u w:val="single" w:color="0000FF"/>
          </w:rPr>
          <w:t>cas_facultyaffairs@stonybrook.edu</w:t>
        </w:r>
        <w:r>
          <w:rPr>
            <w:rFonts w:ascii="Arial"/>
            <w:color w:val="0000FF"/>
            <w:sz w:val="21"/>
          </w:rPr>
          <w:t xml:space="preserve"> </w:t>
        </w:r>
      </w:hyperlink>
      <w:r>
        <w:t xml:space="preserve">by May 31. The </w:t>
      </w:r>
      <w:r>
        <w:t xml:space="preserve">promotion dossier </w:t>
      </w:r>
      <w:r>
        <w:t>must contain the following:</w:t>
      </w:r>
    </w:p>
    <w:p w14:paraId="2203DB0B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Cover Sheet</w:t>
      </w:r>
    </w:p>
    <w:p w14:paraId="08F6E9F9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lastRenderedPageBreak/>
        <w:t>Current CV</w:t>
      </w:r>
    </w:p>
    <w:p w14:paraId="037AB90C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Tally of the votes by tenure/tenure-track faculty in the academic unit with a summarized reasoning behind negative votes and abstentions</w:t>
      </w:r>
    </w:p>
    <w:p w14:paraId="1619AEB2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Statement of Research</w:t>
      </w:r>
    </w:p>
    <w:p w14:paraId="724F9204" w14:textId="77777777" w:rsidR="00AB7F2D" w:rsidRDefault="00AB7F2D" w:rsidP="0012008A">
      <w:pPr>
        <w:pStyle w:val="ListParagraph"/>
        <w:numPr>
          <w:ilvl w:val="0"/>
          <w:numId w:val="5"/>
        </w:numPr>
      </w:pPr>
      <w:r>
        <w:t xml:space="preserve">Diversity Statement from the candidate: The statement should indicate how Diversity, Equity and Inclusion (DEI) is embedded in the research and outreach portfolio of the candidate </w:t>
      </w:r>
    </w:p>
    <w:p w14:paraId="71A19BDC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Mentoring statement</w:t>
      </w:r>
    </w:p>
    <w:p w14:paraId="5FE5433A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Service statement</w:t>
      </w:r>
    </w:p>
    <w:p w14:paraId="7950EF18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Three letters of recommendation from tenured/tenure-track faculty from the academic unit</w:t>
      </w:r>
      <w:r>
        <w:t>.</w:t>
      </w:r>
    </w:p>
    <w:p w14:paraId="30F1628E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Two letters of recommendation from current or former students or postdocs</w:t>
      </w:r>
    </w:p>
    <w:p w14:paraId="375EBEB9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Letter from academic unit chair containing summary endorsement of the nomination</w:t>
      </w:r>
    </w:p>
    <w:p w14:paraId="48C79094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The recommendation of the academic unit is then forwarded and evaluated by the Associate Deans, and the Dean of the relevant School/College who finalizes the decision</w:t>
      </w:r>
    </w:p>
    <w:p w14:paraId="2B0261A6" w14:textId="77777777" w:rsidR="00AB7F2D" w:rsidRDefault="00AB7F2D" w:rsidP="00AB7F2D">
      <w:pPr>
        <w:pStyle w:val="ListParagraph"/>
        <w:numPr>
          <w:ilvl w:val="0"/>
          <w:numId w:val="5"/>
        </w:numPr>
      </w:pPr>
      <w:r>
        <w:t>Approved position compensation form if any salary review/adjustment increase is requested</w:t>
      </w:r>
    </w:p>
    <w:p w14:paraId="1568D5A7" w14:textId="77777777" w:rsidR="00AB7F2D" w:rsidRPr="00AB7F2D" w:rsidRDefault="00AB7F2D" w:rsidP="00AB7F2D">
      <w:pPr>
        <w:rPr>
          <w:rFonts w:cstheme="minorHAnsi"/>
        </w:rPr>
      </w:pPr>
    </w:p>
    <w:p w14:paraId="71D931EB" w14:textId="77777777" w:rsidR="00AB7F2D" w:rsidRPr="00AB7F2D" w:rsidRDefault="005E2763" w:rsidP="00AB7F2D">
      <w:pPr>
        <w:rPr>
          <w:rFonts w:cstheme="minorHAnsi"/>
        </w:rPr>
      </w:pPr>
      <w:r>
        <w:rPr>
          <w:rFonts w:cstheme="minorHAnsi"/>
        </w:rPr>
        <w:t>Additional information regarding promotion of research faculty can be found on the Provost’s Office we</w:t>
      </w:r>
      <w:bookmarkStart w:id="0" w:name="_GoBack"/>
      <w:bookmarkEnd w:id="0"/>
      <w:r>
        <w:rPr>
          <w:rFonts w:cstheme="minorHAnsi"/>
        </w:rPr>
        <w:t xml:space="preserve">bsite: </w:t>
      </w:r>
      <w:r w:rsidRPr="005E2763">
        <w:rPr>
          <w:rFonts w:cstheme="minorHAnsi"/>
        </w:rPr>
        <w:t>https://www.stonybrook.edu/commcms/faculty-pathways/pages/promotion_inst_res.php</w:t>
      </w:r>
    </w:p>
    <w:sectPr w:rsidR="00AB7F2D" w:rsidRPr="00AB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F3"/>
    <w:multiLevelType w:val="hybridMultilevel"/>
    <w:tmpl w:val="1870D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8BA"/>
    <w:multiLevelType w:val="hybridMultilevel"/>
    <w:tmpl w:val="D1508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62EAB"/>
    <w:multiLevelType w:val="hybridMultilevel"/>
    <w:tmpl w:val="1D80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87804"/>
    <w:multiLevelType w:val="hybridMultilevel"/>
    <w:tmpl w:val="1608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B4FFE"/>
    <w:multiLevelType w:val="hybridMultilevel"/>
    <w:tmpl w:val="6E02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2D"/>
    <w:rsid w:val="005E2763"/>
    <w:rsid w:val="009E6A60"/>
    <w:rsid w:val="00A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4C54"/>
  <w15:chartTrackingRefBased/>
  <w15:docId w15:val="{A838D0DC-51DC-4B87-BA88-63690FBC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B7F2D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F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AB7F2D"/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_facultyaffairs@stonybrook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076861D5CA743BFC915AE6D28A1FA" ma:contentTypeVersion="13" ma:contentTypeDescription="Create a new document." ma:contentTypeScope="" ma:versionID="49c65fe7cb03ba357ea0a546aca3d280">
  <xsd:schema xmlns:xsd="http://www.w3.org/2001/XMLSchema" xmlns:xs="http://www.w3.org/2001/XMLSchema" xmlns:p="http://schemas.microsoft.com/office/2006/metadata/properties" xmlns:ns3="44aa63e3-89e7-43f3-85bb-aef2fa8c4b14" xmlns:ns4="c1004f20-2aa5-40ba-b57f-37c9f5c92c2e" targetNamespace="http://schemas.microsoft.com/office/2006/metadata/properties" ma:root="true" ma:fieldsID="7eed0ab9fa462a633ce3ff8eb2e8b08f" ns3:_="" ns4:_="">
    <xsd:import namespace="44aa63e3-89e7-43f3-85bb-aef2fa8c4b14"/>
    <xsd:import namespace="c1004f20-2aa5-40ba-b57f-37c9f5c92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a63e3-89e7-43f3-85bb-aef2fa8c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04f20-2aa5-40ba-b57f-37c9f5c92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B4830-2F2A-4E54-BB44-4F322A294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a63e3-89e7-43f3-85bb-aef2fa8c4b14"/>
    <ds:schemaRef ds:uri="c1004f20-2aa5-40ba-b57f-37c9f5c92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49F10-05A2-4642-B5B3-B1E9739A7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2E6B7-22AE-44BE-8AB8-DA05588F943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c1004f20-2aa5-40ba-b57f-37c9f5c92c2e"/>
    <ds:schemaRef ds:uri="44aa63e3-89e7-43f3-85bb-aef2fa8c4b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Carter</dc:creator>
  <cp:keywords/>
  <dc:description/>
  <cp:lastModifiedBy>Lois Carter</cp:lastModifiedBy>
  <cp:revision>1</cp:revision>
  <dcterms:created xsi:type="dcterms:W3CDTF">2022-02-07T20:20:00Z</dcterms:created>
  <dcterms:modified xsi:type="dcterms:W3CDTF">2022-02-07T20:31:00Z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0x0101003BD076861D5CA743BFC915AE6D28A1FA</vt:lpwstr>
  </property>
</Properties>
</file>